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77" w:rsidRDefault="00D92077" w:rsidP="00D92077">
      <w:r>
        <w:t xml:space="preserve">Articolul </w:t>
      </w:r>
      <w:r w:rsidR="00221221">
        <w:rPr>
          <w:rFonts w:ascii="Arial" w:hAnsi="Arial" w:cs="Arial"/>
          <w:color w:val="424242"/>
          <w:sz w:val="21"/>
          <w:szCs w:val="21"/>
          <w:shd w:val="clear" w:color="auto" w:fill="FFFFFF"/>
        </w:rPr>
        <w:t>293</w:t>
      </w:r>
      <w:r w:rsidR="00221221">
        <w:rPr>
          <w:rFonts w:ascii="Arial" w:hAnsi="Arial" w:cs="Arial"/>
          <w:color w:val="ACACAC"/>
          <w:sz w:val="17"/>
          <w:szCs w:val="17"/>
          <w:shd w:val="clear" w:color="auto" w:fill="FFFFFF"/>
          <w:vertAlign w:val="superscript"/>
        </w:rPr>
        <w:t>1</w:t>
      </w:r>
      <w:r>
        <w:t xml:space="preserve">. Încălcarea regulilor de exploatare a maşinilor de casă şi control </w:t>
      </w:r>
    </w:p>
    <w:p w:rsidR="00D92077" w:rsidRDefault="00D92077" w:rsidP="00D92077">
      <w:r>
        <w:t xml:space="preserve">(1) Exploatarea maşinilor de casă şi control fără memorie fiscală, defectate, nesigilate, neînregistrate la organul fiscal </w:t>
      </w:r>
    </w:p>
    <w:p w:rsidR="00D92077" w:rsidRDefault="00D92077" w:rsidP="00D92077">
      <w:r>
        <w:t xml:space="preserve">se sancţionează cu amendă de 50 de unităţi convenţionale aplicată persoanei cu funcţie de răspundere. </w:t>
      </w:r>
    </w:p>
    <w:p w:rsidR="00D92077" w:rsidRDefault="00D92077" w:rsidP="00D92077">
      <w:r>
        <w:t xml:space="preserve">(2) Deteriorarea sau distrugerea premeditată a maşinii de casă şi control ori înlocuirea premeditată a memoriei fiscale sau a programului de aplicaţie al maşinii de casă şi control </w:t>
      </w:r>
    </w:p>
    <w:p w:rsidR="00D92077" w:rsidRDefault="00D92077" w:rsidP="00D92077">
      <w:r>
        <w:t xml:space="preserve">se sancţionează cu amendă de 150 de unităţi convenţionale aplicată persoanei cu funcţie de răspundere. </w:t>
      </w:r>
    </w:p>
    <w:p w:rsidR="00D92077" w:rsidRDefault="00D92077" w:rsidP="00D92077">
      <w:r>
        <w:t xml:space="preserve">(3) Degradarea, pierderea, nimicirea, lipsa registrului maşinii de casă şi control, legalizat în modul stabilit, pentru înregistrarea cronologică a datelor fiscale stocate în memoria fiscală ori completarea lui neregulată sau incompletă (inadecvată) </w:t>
      </w:r>
    </w:p>
    <w:p w:rsidR="00D92077" w:rsidRDefault="00D92077" w:rsidP="00D92077">
      <w:r>
        <w:t xml:space="preserve">se sancţionează cu amendă de 50 de unităţi convenţionale aplicată persoanei cu funcţie de răspundere. </w:t>
      </w:r>
    </w:p>
    <w:p w:rsidR="00D92077" w:rsidRDefault="00D92077" w:rsidP="00D92077">
      <w:r>
        <w:t xml:space="preserve">(4) Efectuarea decontărilor cu consumatorii fără utilizarea maşinii de casă şi control sau emiterea (perfectarea) bonului de casă (bonului de plată în cazurile prevăzute de actele normative) fără toate elementele obligatorii, sau emiterea (perfectarea) bonului de casă (bonului de plată în cazurile prevăzute de actele normative) de o valoare ce nu corespunde sumei achitate real, sau nepredarea premeditată a bonului de casă (bonului de plată în cazurile prevăzute de actele normative) consumatorului </w:t>
      </w:r>
    </w:p>
    <w:p w:rsidR="00D92077" w:rsidRDefault="00D92077" w:rsidP="00D92077">
      <w:r>
        <w:t xml:space="preserve">se sancţionează cu amendă de 50 de unităţi convenţionale. </w:t>
      </w:r>
    </w:p>
    <w:p w:rsidR="00D92077" w:rsidRDefault="00D92077" w:rsidP="00D92077">
      <w:r>
        <w:t xml:space="preserve">(5) Existenţa excedentului sau deficitului de mijloace băneşti în caseta (sertarul) pentru bani a maşinii de casă şi control sau în alt loc special destinat primirii şi păstrării temporare a mijloacelor băneşti din activitatea curentă, ce depăşeşte o unitate convenţională, </w:t>
      </w:r>
    </w:p>
    <w:p w:rsidR="00D92077" w:rsidRDefault="00D92077" w:rsidP="00D92077">
      <w:r>
        <w:t xml:space="preserve">se sancţionează cu amendă de 50 de unităţi convenţionale. </w:t>
      </w:r>
    </w:p>
    <w:p w:rsidR="00D92077" w:rsidRDefault="00D92077" w:rsidP="00D92077">
      <w:r>
        <w:t xml:space="preserve"> Neimprimarea benzilor de control sau nimicirea lor pînă la expirarea termenului de păstrare (arhivare) </w:t>
      </w:r>
    </w:p>
    <w:p w:rsidR="00D92077" w:rsidRDefault="00D92077" w:rsidP="00D92077">
      <w:r>
        <w:t xml:space="preserve">se sancţionează cu amendă de 100 de unităţi convenţionale aplicată persoanei cu funcţie de răspundere. </w:t>
      </w:r>
    </w:p>
    <w:p w:rsidR="00D92077" w:rsidRDefault="00D92077" w:rsidP="00D92077">
      <w:r>
        <w:t xml:space="preserve">(7) Lipsa la vedere a informaţiei prin care se atenţionează consumatorul despre obligativitatea de a prezenta bonul de casă la examinarea eventualelor reclamaţii </w:t>
      </w:r>
    </w:p>
    <w:p w:rsidR="00D92077" w:rsidRDefault="00D92077" w:rsidP="00D92077">
      <w:r>
        <w:t xml:space="preserve">se sancţionează cu amendă de 75 de unităţi convenţionale aplicată persoanei cu funcţie de răspundere. </w:t>
      </w:r>
    </w:p>
    <w:p w:rsidR="00D92077" w:rsidRDefault="00D92077" w:rsidP="00D92077">
      <w:r>
        <w:t xml:space="preserve"> Degradarea, pierderea, nimicirea, lipsa cărţii tehnice (paşaportului) sau a cartelei de înregistrare, sau a registrului de evidenţă a serviciilor de asistenţă tehnică pentru maşina de casă şi control </w:t>
      </w:r>
    </w:p>
    <w:p w:rsidR="00D92077" w:rsidRDefault="00D92077" w:rsidP="00D92077">
      <w:r>
        <w:t xml:space="preserve">se sancţionează cu amendă de 50 de unităţi convenţionale aplicată persoanei cu funcţie de răspundere. </w:t>
      </w:r>
    </w:p>
    <w:p w:rsidR="00D92077" w:rsidRDefault="00D92077" w:rsidP="00D92077">
      <w:r>
        <w:t xml:space="preserve">(9) Desfăşurarea activităţilor de instalare, reparare, deservire tehnică a maşinilor de casă şi control fără a deţine autorizaţia de competenţă tehnică respectivă sau desfăşurarea activităţilor de instalare, reparare, deservire tehnică cu autorizaţia de competenţă tehnică cu termenul de valabilitate expirat, sau perfectarea incompletă (inadecvată) a registrului de evidenţă a serviciilor de asistenţă tehnică pentru maşina de casă şi control </w:t>
      </w:r>
    </w:p>
    <w:p w:rsidR="00D92077" w:rsidRDefault="00D92077" w:rsidP="00D92077">
      <w:r>
        <w:lastRenderedPageBreak/>
        <w:t xml:space="preserve">se sancţionează cu amendă de 100 de unităţi convenţionale aplicată persoanei fizice, cu amendă de 150 de unităţi convenţionale aplicată persoanei cu funcţie de răspundere. </w:t>
      </w:r>
    </w:p>
    <w:p w:rsidR="00D92077" w:rsidRDefault="00D92077" w:rsidP="00D92077">
      <w:r>
        <w:t xml:space="preserve">(10) Săvîrşirea repetată, în decursul unui an calendaristic, a unei contravenţii prevăzute la alin.(2) şi (9) de către o persoană sancţionată contravenţional pentru aceste contravenţii </w:t>
      </w:r>
    </w:p>
    <w:p w:rsidR="00D92077" w:rsidRDefault="00D92077" w:rsidP="00D92077">
      <w:r>
        <w:t>se sancţionează cu amendă de 300 de unităţi convenţionale.</w:t>
      </w:r>
    </w:p>
    <w:p w:rsidR="004B3285" w:rsidRDefault="00D92077" w:rsidP="00D92077">
      <w:r>
        <w:t>[Art.</w:t>
      </w:r>
      <w:r w:rsidR="00221221" w:rsidRPr="00221221">
        <w:rPr>
          <w:rFonts w:ascii="Arial" w:hAnsi="Arial" w:cs="Arial"/>
          <w:color w:val="424242"/>
          <w:sz w:val="21"/>
          <w:szCs w:val="21"/>
          <w:shd w:val="clear" w:color="auto" w:fill="FFFFFF"/>
        </w:rPr>
        <w:t xml:space="preserve"> </w:t>
      </w:r>
      <w:r w:rsidR="00221221">
        <w:rPr>
          <w:rFonts w:ascii="Arial" w:hAnsi="Arial" w:cs="Arial"/>
          <w:color w:val="424242"/>
          <w:sz w:val="21"/>
          <w:szCs w:val="21"/>
          <w:shd w:val="clear" w:color="auto" w:fill="FFFFFF"/>
        </w:rPr>
        <w:t>293</w:t>
      </w:r>
      <w:r w:rsidR="00221221">
        <w:rPr>
          <w:rFonts w:ascii="Arial" w:hAnsi="Arial" w:cs="Arial"/>
          <w:color w:val="ACACAC"/>
          <w:sz w:val="17"/>
          <w:szCs w:val="17"/>
          <w:shd w:val="clear" w:color="auto" w:fill="FFFFFF"/>
          <w:vertAlign w:val="superscript"/>
        </w:rPr>
        <w:t>1</w:t>
      </w:r>
      <w:bookmarkStart w:id="0" w:name="_GoBack"/>
      <w:bookmarkEnd w:id="0"/>
      <w:r>
        <w:t xml:space="preserve"> introdus prin Legea nr.108-XVI din 17.12.2009, în vigoare 01.01.2010]</w:t>
      </w:r>
    </w:p>
    <w:sectPr w:rsidR="004B3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C1"/>
    <w:rsid w:val="00221221"/>
    <w:rsid w:val="005454C1"/>
    <w:rsid w:val="00635716"/>
    <w:rsid w:val="00862023"/>
    <w:rsid w:val="00BC27C6"/>
    <w:rsid w:val="00D92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Ceban Lucia</dc:creator>
  <cp:keywords/>
  <dc:description/>
  <cp:lastModifiedBy>Ceban Lucia</cp:lastModifiedBy>
  <cp:revision>3</cp:revision>
  <dcterms:created xsi:type="dcterms:W3CDTF">2016-04-08T06:32:00Z</dcterms:created>
  <dcterms:modified xsi:type="dcterms:W3CDTF">2016-04-08T06:33:00Z</dcterms:modified>
</cp:coreProperties>
</file>