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E" w:rsidRDefault="00607F4E" w:rsidP="00607F4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6"/>
          <w:lang w:val="ro-RO"/>
        </w:rPr>
      </w:pPr>
      <w:r w:rsidRPr="00607F4E">
        <w:rPr>
          <w:rFonts w:ascii="Times New Roman" w:hAnsi="Times New Roman" w:cs="Times New Roman"/>
          <w:i/>
          <w:noProof/>
          <w:color w:val="1F4E79" w:themeColor="accent1" w:themeShade="80"/>
          <w:sz w:val="30"/>
          <w:szCs w:val="3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736570</wp:posOffset>
            </wp:positionH>
            <wp:positionV relativeFrom="paragraph">
              <wp:posOffset>-270923</wp:posOffset>
            </wp:positionV>
            <wp:extent cx="1722475" cy="1722475"/>
            <wp:effectExtent l="38100" t="0" r="30480" b="30480"/>
            <wp:wrapNone/>
            <wp:docPr id="1" name="Рисунок 1" descr="C:\Users\anastasia.movila\Desktop\poze fisc\media_14204503658709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.movila\Desktop\poze fisc\media_14204503658709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50" cy="17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5E9" w:rsidRDefault="000B15E9" w:rsidP="00607F4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6"/>
          <w:lang w:val="ro-RO"/>
        </w:rPr>
      </w:pPr>
      <w:r w:rsidRPr="000B15E9">
        <w:rPr>
          <w:rFonts w:ascii="Times New Roman" w:hAnsi="Times New Roman" w:cs="Times New Roman"/>
          <w:b/>
          <w:i/>
          <w:sz w:val="44"/>
          <w:szCs w:val="26"/>
          <w:lang w:val="ro-RO"/>
        </w:rPr>
        <w:t xml:space="preserve">Lista </w:t>
      </w:r>
      <w:r>
        <w:rPr>
          <w:rFonts w:ascii="Times New Roman" w:hAnsi="Times New Roman" w:cs="Times New Roman"/>
          <w:b/>
          <w:i/>
          <w:sz w:val="44"/>
          <w:szCs w:val="26"/>
          <w:lang w:val="ro-RO"/>
        </w:rPr>
        <w:t>c</w:t>
      </w:r>
      <w:r w:rsidRPr="000B15E9">
        <w:rPr>
          <w:rFonts w:ascii="Times New Roman" w:hAnsi="Times New Roman" w:cs="Times New Roman"/>
          <w:b/>
          <w:i/>
          <w:sz w:val="44"/>
          <w:szCs w:val="26"/>
          <w:lang w:val="ro-RO"/>
        </w:rPr>
        <w:t>ontribuabililor one</w:t>
      </w:r>
      <w:r w:rsidR="0095317A">
        <w:rPr>
          <w:rFonts w:ascii="Times New Roman" w:hAnsi="Times New Roman" w:cs="Times New Roman"/>
          <w:b/>
          <w:i/>
          <w:sz w:val="44"/>
          <w:szCs w:val="26"/>
          <w:lang w:val="ro-RO"/>
        </w:rPr>
        <w:t>ş</w:t>
      </w:r>
      <w:r w:rsidRPr="000B15E9">
        <w:rPr>
          <w:rFonts w:ascii="Times New Roman" w:hAnsi="Times New Roman" w:cs="Times New Roman"/>
          <w:b/>
          <w:i/>
          <w:sz w:val="44"/>
          <w:szCs w:val="26"/>
          <w:lang w:val="ro-RO"/>
        </w:rPr>
        <w:t>ti</w:t>
      </w:r>
    </w:p>
    <w:p w:rsidR="00607F4E" w:rsidRDefault="00607F4E" w:rsidP="00607F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607F4E" w:rsidRPr="000B15E9" w:rsidRDefault="00607F4E" w:rsidP="00607F4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607F4E" w:rsidRDefault="00607F4E" w:rsidP="00607F4E">
      <w:pPr>
        <w:pStyle w:val="a3"/>
        <w:numPr>
          <w:ilvl w:val="0"/>
          <w:numId w:val="1"/>
        </w:numPr>
        <w:spacing w:after="0"/>
        <w:ind w:hanging="361"/>
        <w:jc w:val="both"/>
        <w:rPr>
          <w:rFonts w:ascii="Times New Roman" w:hAnsi="Times New Roman" w:cs="Times New Roman"/>
          <w:sz w:val="32"/>
          <w:szCs w:val="32"/>
        </w:rPr>
        <w:sectPr w:rsidR="00607F4E" w:rsidSect="00607F4E">
          <w:type w:val="continuous"/>
          <w:pgSz w:w="15840" w:h="12240" w:orient="landscape"/>
          <w:pgMar w:top="0" w:right="1134" w:bottom="284" w:left="1134" w:header="709" w:footer="709" w:gutter="0"/>
          <w:cols w:space="192"/>
          <w:docGrid w:linePitch="360"/>
        </w:sectPr>
      </w:pP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lastRenderedPageBreak/>
        <w:t>HR-Consulting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Limar-HH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Moldelina S.A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S.C. Vivat Consulting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I.M. Euro Olmar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S.A.Grant Thornton Audit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I.C.S. Solveit Software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I.C.S. Ernst &amp; Young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Autoforta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Casa Comerciala Bulgara S.R.L.</w:t>
      </w:r>
      <w:bookmarkStart w:id="0" w:name="_GoBack"/>
      <w:bookmarkEnd w:id="0"/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S.A. Prometeu-Nord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Meteor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FeagriStiharu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Modernus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Bogatmos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F.P.C. Cogilnic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Crio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F.P.C. Dondservice S.R.L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Glia Surenilor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Agrodac-Grup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Etalonus-Grup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Agrocirip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Agdav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Agrosargal CAP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Toncar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Vicat-Com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Miaco-Lux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lastRenderedPageBreak/>
        <w:t xml:space="preserve"> S.R.L. Plaiul Birladean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Pietriscom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S.A. Cariera Saptebani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Semincerul-Unic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Drumuri-Soroca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Faguras de Aur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S.C. Autoalternativa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Carahasani – Agro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Agristan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C.P. Chitcani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Electro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S.R.L. Vulfarm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Aeroport Handling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Makler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Endava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I.M. Moldcell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Moldtelecom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Red Union Fenosa S.A.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I.C.S.Pricewaterhousecoopers Audit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>Chisinauproiect I.M.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Carpeni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I.S. Fintehinform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Indra Sisteme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Samres South East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GNF Furnizare Energie S.R.L.</w:t>
      </w:r>
    </w:p>
    <w:p w:rsidR="000B15E9" w:rsidRPr="00607F4E" w:rsidRDefault="000B15E9" w:rsidP="00607F4E">
      <w:pPr>
        <w:pStyle w:val="a3"/>
        <w:numPr>
          <w:ilvl w:val="0"/>
          <w:numId w:val="1"/>
        </w:numPr>
        <w:spacing w:after="0" w:line="264" w:lineRule="auto"/>
        <w:ind w:hanging="361"/>
        <w:jc w:val="both"/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</w:pPr>
      <w:r w:rsidRPr="00607F4E">
        <w:rPr>
          <w:rFonts w:ascii="Times New Roman" w:hAnsi="Times New Roman" w:cs="Times New Roman"/>
          <w:i/>
          <w:color w:val="1F4E79" w:themeColor="accent1" w:themeShade="80"/>
          <w:sz w:val="30"/>
          <w:szCs w:val="30"/>
        </w:rPr>
        <w:t xml:space="preserve"> I.C.S. Top Shop Studiomoderna S.R.L.</w:t>
      </w:r>
    </w:p>
    <w:sectPr w:rsidR="000B15E9" w:rsidRPr="00607F4E" w:rsidSect="00607F4E">
      <w:type w:val="continuous"/>
      <w:pgSz w:w="15840" w:h="12240" w:orient="landscape"/>
      <w:pgMar w:top="426" w:right="1134" w:bottom="284" w:left="1134" w:header="709" w:footer="709" w:gutter="0"/>
      <w:cols w:num="2" w:space="1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437"/>
    <w:multiLevelType w:val="hybridMultilevel"/>
    <w:tmpl w:val="02780A08"/>
    <w:lvl w:ilvl="0" w:tplc="22988A8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0CBC"/>
    <w:rsid w:val="000B15E9"/>
    <w:rsid w:val="00607F4E"/>
    <w:rsid w:val="006679CA"/>
    <w:rsid w:val="0095317A"/>
    <w:rsid w:val="00EA0CBC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E9"/>
    <w:pPr>
      <w:spacing w:after="200" w:line="276" w:lineRule="auto"/>
      <w:ind w:left="720"/>
      <w:contextualSpacing/>
    </w:pPr>
    <w:rPr>
      <w:rFonts w:eastAsiaTheme="minorEastAsia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D45F-3151-46ED-A10D-56D5C86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Movila Anastasia</dc:creator>
  <cp:keywords/>
  <dc:description/>
  <cp:lastModifiedBy>Revista</cp:lastModifiedBy>
  <cp:revision>2</cp:revision>
  <dcterms:created xsi:type="dcterms:W3CDTF">2016-09-19T06:18:00Z</dcterms:created>
  <dcterms:modified xsi:type="dcterms:W3CDTF">2016-09-19T06:18:00Z</dcterms:modified>
</cp:coreProperties>
</file>