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6A" w:rsidRDefault="00761EE8" w:rsidP="00C159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nr. 4 </w:t>
      </w:r>
    </w:p>
    <w:p w:rsidR="00761EE8" w:rsidRDefault="00761EE8" w:rsidP="003625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1EE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Finanțelor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E8" w:rsidRDefault="00761EE8" w:rsidP="00C159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1EE8">
        <w:rPr>
          <w:rFonts w:ascii="Times New Roman" w:hAnsi="Times New Roman" w:cs="Times New Roman"/>
          <w:sz w:val="28"/>
          <w:szCs w:val="28"/>
        </w:rPr>
        <w:t>nr.126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din 4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2017</w:t>
      </w:r>
    </w:p>
    <w:bookmarkEnd w:id="0"/>
    <w:p w:rsidR="00761EE8" w:rsidRDefault="00761EE8" w:rsidP="00C159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EE8" w:rsidRPr="00761EE8" w:rsidRDefault="00761EE8" w:rsidP="00C15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 xml:space="preserve">INSTRUCȚIUNE cu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modul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completare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1EE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Informației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stabilirea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drepturilor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sistemul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public de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asigurări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</w:p>
    <w:p w:rsidR="00761EE8" w:rsidRDefault="00761EE8" w:rsidP="00C15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EE8" w:rsidRPr="00761EE8" w:rsidRDefault="00761EE8" w:rsidP="00C159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 xml:space="preserve"> I. DISPOZIȚII GENERALE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1</w:t>
      </w:r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Instrucțiune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stabilește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(Forma DSA18) care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întocmește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Finanțelor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>.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2</w:t>
      </w:r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nominalizată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destinată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declarării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survenirii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riscului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determinarea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prestaţie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2.1</w:t>
      </w:r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angajatori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declarată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reflectă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aflare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3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aflării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concediul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paternal)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Clasificatorului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strict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reflectării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indicând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corespundere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ordinele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întocmite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angajator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servi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prestaţiilor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2.2</w:t>
      </w:r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art.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lit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. b)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nr. 489 din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iulie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întreprinză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torii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individuali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avocaţii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notarii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executorii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administratorii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stabilirii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pensiei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3</w:t>
      </w:r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Entitățile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automatizate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art.187 din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fiscal,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Fiscal de Stat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mod electronic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(Forma DSA18).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dispune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menționată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subdiviziunii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Fiscal de Stat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suport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hârtie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4</w:t>
      </w:r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menționată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subpct.2.1,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prezentată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nu se include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angajatori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Darea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seamă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(Forma IPC18),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tabelul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nr.3, care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Fiscal de Stat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data de 25 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următoare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lastRenderedPageBreak/>
        <w:t>lunii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menționată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subpct.2.2,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prezentată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se include,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obligațiilor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EE8" w:rsidRPr="00761EE8" w:rsidRDefault="00761EE8" w:rsidP="00C159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 xml:space="preserve">II. MODUL DE COMPLETARE </w:t>
      </w:r>
      <w:proofErr w:type="gramStart"/>
      <w:r w:rsidRPr="00761EE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INFORMAŢIEI </w:t>
      </w:r>
    </w:p>
    <w:p w:rsidR="00761EE8" w:rsidRDefault="00761EE8" w:rsidP="00C15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(Forma DSA 18)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>: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</w:t>
      </w:r>
      <w:r w:rsidRPr="00761EE8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preambulul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reflectă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Denumirea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contribuabilului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contribuabilului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corespundă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organele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legislației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>;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r w:rsidRPr="00761EE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Codul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fiscal”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fiscal, care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personal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contribuabilului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legislația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Fiscal de Stat”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subdiviziunii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Fiscal de Stat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cărei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rază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deservește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contribuabilul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la care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r w:rsidRPr="00761EE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Codul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CNAS”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semnul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convențional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CNAS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plătitor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contribuții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stat;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r w:rsidRPr="00761EE8">
        <w:rPr>
          <w:rFonts w:ascii="Times New Roman" w:hAnsi="Times New Roman" w:cs="Times New Roman"/>
          <w:b/>
          <w:sz w:val="28"/>
          <w:szCs w:val="28"/>
        </w:rPr>
        <w:t xml:space="preserve">„Luna,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b/>
          <w:sz w:val="28"/>
          <w:szCs w:val="28"/>
        </w:rPr>
        <w:t>gestiune</w:t>
      </w:r>
      <w:proofErr w:type="spellEnd"/>
      <w:r w:rsidRPr="00761EE8">
        <w:rPr>
          <w:rFonts w:ascii="Times New Roman" w:hAnsi="Times New Roman" w:cs="Times New Roman"/>
          <w:b/>
          <w:sz w:val="28"/>
          <w:szCs w:val="28"/>
        </w:rPr>
        <w:t>”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cod cu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format:</w:t>
      </w:r>
    </w:p>
    <w:p w:rsidR="00761EE8" w:rsidRPr="00761EE8" w:rsidRDefault="00761EE8" w:rsidP="00C15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P/NN/AAAA,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unde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P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periodicitatea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prezentării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„L”;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 xml:space="preserve">NN </w:t>
      </w:r>
      <w:r w:rsidRPr="00761E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: de la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12;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AAAA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gestionar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„Data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prezentării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” – data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efectivă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prezentării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subdiviziunii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Fiscal de Stat.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tabelul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reflectă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>: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 xml:space="preserve"> col. </w:t>
      </w:r>
      <w:proofErr w:type="gramStart"/>
      <w:r w:rsidRPr="00761EE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curent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înscrierii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entităţile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pct. 2.2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efectuată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corespunde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declară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contribuţia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; </w:t>
      </w:r>
      <w:r w:rsidRPr="00761EE8">
        <w:rPr>
          <w:rFonts w:ascii="Times New Roman" w:hAnsi="Times New Roman" w:cs="Times New Roman"/>
          <w:b/>
          <w:sz w:val="28"/>
          <w:szCs w:val="28"/>
        </w:rPr>
        <w:t>col. 2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identifică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entităţile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subpct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2.2 se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repeta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achitată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contribuţia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col. 3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(IDNP)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Câmpul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lastRenderedPageBreak/>
        <w:t>col. 4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codului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personal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înregistrării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stat al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evidenţei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Câmpul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E8">
        <w:rPr>
          <w:rFonts w:ascii="Times New Roman" w:hAnsi="Times New Roman" w:cs="Times New Roman"/>
          <w:b/>
          <w:sz w:val="28"/>
          <w:szCs w:val="28"/>
        </w:rPr>
        <w:t>col</w:t>
      </w:r>
      <w:proofErr w:type="gramEnd"/>
      <w:r w:rsidRPr="00761EE8">
        <w:rPr>
          <w:rFonts w:ascii="Times New Roman" w:hAnsi="Times New Roman" w:cs="Times New Roman"/>
          <w:b/>
          <w:sz w:val="28"/>
          <w:szCs w:val="28"/>
        </w:rPr>
        <w:t>. 5-6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data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începerii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perioadelor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declarate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codului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coloniţa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subpct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2.1.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Perioadele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reflectate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Informației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entitățile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subpct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2.2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lunile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luna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survenirii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riscului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pensia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E8">
        <w:rPr>
          <w:rFonts w:ascii="Times New Roman" w:hAnsi="Times New Roman" w:cs="Times New Roman"/>
          <w:b/>
          <w:sz w:val="28"/>
          <w:szCs w:val="28"/>
        </w:rPr>
        <w:t>col. 7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categoriei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regăseşte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Clasificatorul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categoriei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de CNAS.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subpct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2.1.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riscului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entităţile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subpct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2.2 se </w:t>
      </w:r>
      <w:proofErr w:type="spellStart"/>
      <w:proofErr w:type="gramStart"/>
      <w:r w:rsidRPr="00761EE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indica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4DD" w:rsidRPr="00761EE8" w:rsidRDefault="00761EE8" w:rsidP="00C15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E8">
        <w:rPr>
          <w:rFonts w:ascii="Times New Roman" w:hAnsi="Times New Roman" w:cs="Times New Roman"/>
          <w:b/>
          <w:sz w:val="28"/>
          <w:szCs w:val="28"/>
        </w:rPr>
        <w:t>col</w:t>
      </w:r>
      <w:proofErr w:type="gramEnd"/>
      <w:r w:rsidRPr="00761EE8">
        <w:rPr>
          <w:rFonts w:ascii="Times New Roman" w:hAnsi="Times New Roman" w:cs="Times New Roman"/>
          <w:b/>
          <w:sz w:val="28"/>
          <w:szCs w:val="28"/>
        </w:rPr>
        <w:t>. 8-12</w:t>
      </w:r>
      <w:r w:rsidRPr="00761EE8">
        <w:rPr>
          <w:rFonts w:ascii="Times New Roman" w:hAnsi="Times New Roman" w:cs="Times New Roman"/>
          <w:sz w:val="28"/>
          <w:szCs w:val="28"/>
        </w:rPr>
        <w:t xml:space="preserve"> –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indicele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zero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subpct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2.1.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specificate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subpct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EE8">
        <w:rPr>
          <w:rFonts w:ascii="Times New Roman" w:hAnsi="Times New Roman" w:cs="Times New Roman"/>
          <w:sz w:val="28"/>
          <w:szCs w:val="28"/>
        </w:rPr>
        <w:t>2.2</w:t>
      </w:r>
      <w:proofErr w:type="gramEnd"/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indicele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zero, cu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coloanei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contribuţiei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EE8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761EE8">
        <w:rPr>
          <w:rFonts w:ascii="Times New Roman" w:hAnsi="Times New Roman" w:cs="Times New Roman"/>
          <w:sz w:val="28"/>
          <w:szCs w:val="28"/>
        </w:rPr>
        <w:t xml:space="preserve"> calculate.</w:t>
      </w:r>
    </w:p>
    <w:sectPr w:rsidR="00A964DD" w:rsidRPr="0076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70"/>
    <w:rsid w:val="0036256A"/>
    <w:rsid w:val="00761EE8"/>
    <w:rsid w:val="00A964DD"/>
    <w:rsid w:val="00B41970"/>
    <w:rsid w:val="00C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CCAA-560D-4A78-8237-1485C2D4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Damaschin Marina</dc:creator>
  <cp:keywords/>
  <dc:description/>
  <cp:lastModifiedBy>Damaschin Marina</cp:lastModifiedBy>
  <cp:revision>4</cp:revision>
  <dcterms:created xsi:type="dcterms:W3CDTF">2018-01-26T12:40:00Z</dcterms:created>
  <dcterms:modified xsi:type="dcterms:W3CDTF">2018-01-26T12:50:00Z</dcterms:modified>
</cp:coreProperties>
</file>